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22" w:rsidRPr="008868B3" w:rsidRDefault="000D6522">
      <w:pPr>
        <w:pStyle w:val="BodyText"/>
        <w:rPr>
          <w:rFonts w:asciiTheme="minorHAnsi" w:hAnsiTheme="minorHAnsi" w:cstheme="minorHAnsi"/>
          <w:b w:val="0"/>
          <w:sz w:val="24"/>
          <w:szCs w:val="24"/>
        </w:rPr>
      </w:pPr>
      <w:bookmarkStart w:id="0" w:name="_GoBack"/>
      <w:bookmarkEnd w:id="0"/>
    </w:p>
    <w:p w:rsidR="000D6522" w:rsidRPr="008868B3" w:rsidRDefault="002335E7">
      <w:pPr>
        <w:pStyle w:val="Title"/>
        <w:rPr>
          <w:rFonts w:asciiTheme="minorHAnsi" w:hAnsiTheme="minorHAnsi" w:cstheme="minorHAnsi"/>
        </w:rPr>
      </w:pPr>
      <w:r w:rsidRPr="008868B3">
        <w:rPr>
          <w:rFonts w:asciiTheme="minorHAnsi" w:hAnsiTheme="minorHAnsi" w:cstheme="minorHAnsi"/>
        </w:rPr>
        <w:t>Информация към 3</w:t>
      </w:r>
      <w:r w:rsidR="008C2FBC">
        <w:rPr>
          <w:rFonts w:asciiTheme="minorHAnsi" w:hAnsiTheme="minorHAnsi" w:cstheme="minorHAnsi"/>
        </w:rPr>
        <w:t>0</w:t>
      </w:r>
      <w:r w:rsidRPr="008868B3">
        <w:rPr>
          <w:rFonts w:asciiTheme="minorHAnsi" w:hAnsiTheme="minorHAnsi" w:cstheme="minorHAnsi"/>
        </w:rPr>
        <w:t>.0</w:t>
      </w:r>
      <w:r w:rsidR="008C2FBC">
        <w:rPr>
          <w:rFonts w:asciiTheme="minorHAnsi" w:hAnsiTheme="minorHAnsi" w:cstheme="minorHAnsi"/>
        </w:rPr>
        <w:t>9</w:t>
      </w:r>
      <w:r w:rsidRPr="008868B3">
        <w:rPr>
          <w:rFonts w:asciiTheme="minorHAnsi" w:hAnsiTheme="minorHAnsi" w:cstheme="minorHAnsi"/>
        </w:rPr>
        <w:t>.2020 г. по чл. 25, ал.2 от ЗДСИЦ и по чл. 41, ал.2, т. 6 от НАРЕДБА № 2 от 17.09.2003 г. за проспектите при публично предлагане на ценни книжа и за разкриването на информация</w:t>
      </w:r>
    </w:p>
    <w:p w:rsidR="000D6522" w:rsidRPr="008868B3" w:rsidRDefault="000D652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0D6522" w:rsidRPr="008868B3" w:rsidRDefault="000D652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0D6522" w:rsidRPr="008868B3" w:rsidRDefault="00CE084E" w:rsidP="00EE5922">
      <w:pPr>
        <w:pStyle w:val="ListParagraph"/>
        <w:tabs>
          <w:tab w:val="left" w:pos="0"/>
        </w:tabs>
        <w:spacing w:before="227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1.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Размер на вземанията – </w:t>
      </w:r>
      <w:r w:rsidRPr="008868B3">
        <w:rPr>
          <w:rFonts w:asciiTheme="minorHAnsi" w:hAnsiTheme="minorHAnsi" w:cstheme="minorHAnsi"/>
          <w:b/>
          <w:sz w:val="24"/>
          <w:szCs w:val="24"/>
        </w:rPr>
        <w:t>към 3</w:t>
      </w:r>
      <w:r w:rsidR="008C2FBC">
        <w:rPr>
          <w:rFonts w:asciiTheme="minorHAnsi" w:hAnsiTheme="minorHAnsi" w:cstheme="minorHAnsi"/>
          <w:b/>
          <w:sz w:val="24"/>
          <w:szCs w:val="24"/>
        </w:rPr>
        <w:t>0</w:t>
      </w:r>
      <w:r w:rsidRPr="008868B3">
        <w:rPr>
          <w:rFonts w:asciiTheme="minorHAnsi" w:hAnsiTheme="minorHAnsi" w:cstheme="minorHAnsi"/>
          <w:b/>
          <w:sz w:val="24"/>
          <w:szCs w:val="24"/>
        </w:rPr>
        <w:t>.0</w:t>
      </w:r>
      <w:r w:rsidR="008C2FBC">
        <w:rPr>
          <w:rFonts w:asciiTheme="minorHAnsi" w:hAnsiTheme="minorHAnsi" w:cstheme="minorHAnsi"/>
          <w:b/>
          <w:sz w:val="24"/>
          <w:szCs w:val="24"/>
        </w:rPr>
        <w:t>9</w:t>
      </w:r>
      <w:r w:rsidRPr="008868B3">
        <w:rPr>
          <w:rFonts w:asciiTheme="minorHAnsi" w:hAnsiTheme="minorHAnsi" w:cstheme="minorHAnsi"/>
          <w:b/>
          <w:sz w:val="24"/>
          <w:szCs w:val="24"/>
        </w:rPr>
        <w:t>.2020 г. Компас Фонд за вземания АДСИЦ няма сключени договори за вземания</w:t>
      </w:r>
      <w:r w:rsidR="002335E7" w:rsidRPr="008868B3">
        <w:rPr>
          <w:rFonts w:asciiTheme="minorHAnsi" w:hAnsiTheme="minorHAnsi" w:cstheme="minorHAnsi"/>
          <w:sz w:val="24"/>
          <w:szCs w:val="24"/>
        </w:rPr>
        <w:t>;</w:t>
      </w:r>
    </w:p>
    <w:p w:rsidR="00CE084E" w:rsidRPr="008868B3" w:rsidRDefault="00CE084E" w:rsidP="00CE084E">
      <w:pPr>
        <w:tabs>
          <w:tab w:val="left" w:pos="0"/>
          <w:tab w:val="left" w:pos="400"/>
        </w:tabs>
        <w:spacing w:line="244" w:lineRule="auto"/>
        <w:rPr>
          <w:rFonts w:asciiTheme="minorHAnsi" w:hAnsiTheme="minorHAnsi" w:cstheme="minorHAnsi"/>
          <w:bCs/>
          <w:sz w:val="24"/>
          <w:szCs w:val="24"/>
        </w:rPr>
      </w:pPr>
    </w:p>
    <w:p w:rsidR="000D6522" w:rsidRPr="008868B3" w:rsidRDefault="00CE084E" w:rsidP="00CE084E">
      <w:pPr>
        <w:tabs>
          <w:tab w:val="left" w:pos="0"/>
        </w:tabs>
        <w:spacing w:line="244" w:lineRule="auto"/>
        <w:rPr>
          <w:rFonts w:asciiTheme="minorHAnsi" w:hAnsiTheme="minorHAnsi" w:cstheme="minorHAnsi"/>
          <w:b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2.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Относителен дял на необслужваните вземания от общия размер на вземанията – </w:t>
      </w:r>
      <w:r w:rsidRPr="008868B3">
        <w:rPr>
          <w:rFonts w:asciiTheme="minorHAnsi" w:hAnsiTheme="minorHAnsi" w:cstheme="minorHAnsi"/>
          <w:b/>
          <w:sz w:val="24"/>
          <w:szCs w:val="24"/>
        </w:rPr>
        <w:t>неприложимо</w:t>
      </w:r>
      <w:r w:rsidR="002335E7" w:rsidRPr="008868B3">
        <w:rPr>
          <w:rFonts w:asciiTheme="minorHAnsi" w:hAnsiTheme="minorHAnsi" w:cstheme="minorHAnsi"/>
          <w:b/>
          <w:sz w:val="24"/>
          <w:szCs w:val="24"/>
        </w:rPr>
        <w:t>;</w:t>
      </w:r>
    </w:p>
    <w:p w:rsidR="000D6522" w:rsidRPr="008868B3" w:rsidRDefault="000D6522" w:rsidP="00CE084E">
      <w:pPr>
        <w:pStyle w:val="BodyText"/>
        <w:tabs>
          <w:tab w:val="left" w:pos="0"/>
        </w:tabs>
        <w:spacing w:before="2"/>
        <w:rPr>
          <w:rFonts w:asciiTheme="minorHAnsi" w:hAnsiTheme="minorHAnsi" w:cstheme="minorHAnsi"/>
          <w:sz w:val="24"/>
          <w:szCs w:val="24"/>
        </w:rPr>
      </w:pPr>
    </w:p>
    <w:p w:rsidR="000D6522" w:rsidRPr="008868B3" w:rsidRDefault="00CE084E" w:rsidP="00CE084E">
      <w:pPr>
        <w:pStyle w:val="ListParagraph"/>
        <w:tabs>
          <w:tab w:val="left" w:pos="0"/>
          <w:tab w:val="left" w:pos="344"/>
        </w:tabs>
        <w:ind w:left="0" w:right="1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3.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Вид и размера на обезпечението и срока на падежа на вземанията за вземания, надвишаващи 10 на сто от общия размер на вземанията </w:t>
      </w:r>
      <w:r w:rsidR="002335E7" w:rsidRPr="008868B3">
        <w:rPr>
          <w:rFonts w:asciiTheme="minorHAnsi" w:hAnsiTheme="minorHAnsi" w:cstheme="minorHAnsi"/>
          <w:b/>
          <w:sz w:val="24"/>
          <w:szCs w:val="24"/>
        </w:rPr>
        <w:t>– н</w:t>
      </w:r>
      <w:r w:rsidRPr="008868B3">
        <w:rPr>
          <w:rFonts w:asciiTheme="minorHAnsi" w:hAnsiTheme="minorHAnsi" w:cstheme="minorHAnsi"/>
          <w:b/>
          <w:sz w:val="24"/>
          <w:szCs w:val="24"/>
        </w:rPr>
        <w:t>еприложимо</w:t>
      </w:r>
      <w:r w:rsidR="002335E7" w:rsidRPr="008868B3">
        <w:rPr>
          <w:rFonts w:asciiTheme="minorHAnsi" w:hAnsiTheme="minorHAnsi" w:cstheme="minorHAnsi"/>
          <w:b/>
          <w:sz w:val="24"/>
          <w:szCs w:val="24"/>
        </w:rPr>
        <w:t>;</w:t>
      </w:r>
    </w:p>
    <w:p w:rsidR="000D6522" w:rsidRPr="008868B3" w:rsidRDefault="000D6522" w:rsidP="00CE084E">
      <w:pPr>
        <w:pStyle w:val="BodyText"/>
        <w:tabs>
          <w:tab w:val="left" w:pos="0"/>
        </w:tabs>
        <w:spacing w:before="11"/>
        <w:rPr>
          <w:rFonts w:asciiTheme="minorHAnsi" w:hAnsiTheme="minorHAnsi" w:cstheme="minorHAnsi"/>
          <w:sz w:val="24"/>
          <w:szCs w:val="24"/>
        </w:rPr>
      </w:pPr>
    </w:p>
    <w:p w:rsidR="000D6522" w:rsidRPr="008868B3" w:rsidRDefault="00CE084E" w:rsidP="00CE084E">
      <w:pPr>
        <w:pStyle w:val="ListParagraph"/>
        <w:tabs>
          <w:tab w:val="left" w:pos="0"/>
          <w:tab w:val="left" w:pos="407"/>
        </w:tabs>
        <w:spacing w:line="244" w:lineRule="auto"/>
        <w:ind w:left="0" w:right="11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4.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Съотношение на обезпеченията спрямо общия размер на вземанията – </w:t>
      </w:r>
      <w:r w:rsidR="002335E7" w:rsidRPr="008868B3">
        <w:rPr>
          <w:rFonts w:asciiTheme="minorHAnsi" w:hAnsiTheme="minorHAnsi" w:cstheme="minorHAnsi"/>
          <w:b/>
          <w:sz w:val="24"/>
          <w:szCs w:val="24"/>
        </w:rPr>
        <w:t>не</w:t>
      </w:r>
      <w:r w:rsidRPr="008868B3">
        <w:rPr>
          <w:rFonts w:asciiTheme="minorHAnsi" w:hAnsiTheme="minorHAnsi" w:cstheme="minorHAnsi"/>
          <w:b/>
          <w:sz w:val="24"/>
          <w:szCs w:val="24"/>
        </w:rPr>
        <w:t>приложимо</w:t>
      </w:r>
      <w:r w:rsidR="002335E7" w:rsidRPr="008868B3">
        <w:rPr>
          <w:rFonts w:asciiTheme="minorHAnsi" w:hAnsiTheme="minorHAnsi" w:cstheme="minorHAnsi"/>
          <w:b/>
          <w:sz w:val="24"/>
          <w:szCs w:val="24"/>
        </w:rPr>
        <w:t>;</w:t>
      </w:r>
    </w:p>
    <w:p w:rsidR="000D6522" w:rsidRPr="008868B3" w:rsidRDefault="000D6522" w:rsidP="00CE084E">
      <w:pPr>
        <w:pStyle w:val="BodyText"/>
        <w:tabs>
          <w:tab w:val="left" w:pos="0"/>
        </w:tabs>
        <w:spacing w:before="9"/>
        <w:rPr>
          <w:rFonts w:asciiTheme="minorHAnsi" w:hAnsiTheme="minorHAnsi" w:cstheme="minorHAnsi"/>
          <w:sz w:val="24"/>
          <w:szCs w:val="24"/>
        </w:rPr>
      </w:pPr>
    </w:p>
    <w:p w:rsidR="000D6522" w:rsidRPr="008868B3" w:rsidRDefault="00CE084E" w:rsidP="00CE084E">
      <w:pPr>
        <w:pStyle w:val="ListParagraph"/>
        <w:tabs>
          <w:tab w:val="left" w:pos="0"/>
          <w:tab w:val="left" w:pos="352"/>
        </w:tabs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5.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Среднопретеглен срок на плащанията по лихви и главници на вземанията - </w:t>
      </w:r>
      <w:r w:rsidRPr="008868B3">
        <w:rPr>
          <w:rFonts w:asciiTheme="minorHAnsi" w:hAnsiTheme="minorHAnsi" w:cstheme="minorHAnsi"/>
          <w:b/>
          <w:sz w:val="24"/>
          <w:szCs w:val="24"/>
        </w:rPr>
        <w:t>неприложимо;</w:t>
      </w:r>
    </w:p>
    <w:p w:rsidR="000D6522" w:rsidRPr="008868B3" w:rsidRDefault="000D6522" w:rsidP="00CE084E">
      <w:pPr>
        <w:pStyle w:val="BodyText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:rsidR="000D6522" w:rsidRPr="008868B3" w:rsidRDefault="00CE084E" w:rsidP="00CE084E">
      <w:pPr>
        <w:pStyle w:val="ListParagraph"/>
        <w:tabs>
          <w:tab w:val="left" w:pos="0"/>
        </w:tabs>
        <w:ind w:left="0" w:righ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6.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Класификация на вземанията – </w:t>
      </w:r>
      <w:r w:rsidRPr="008868B3">
        <w:rPr>
          <w:rFonts w:asciiTheme="minorHAnsi" w:hAnsiTheme="minorHAnsi" w:cstheme="minorHAnsi"/>
          <w:b/>
          <w:sz w:val="24"/>
          <w:szCs w:val="24"/>
        </w:rPr>
        <w:t>неприложимо;</w:t>
      </w:r>
    </w:p>
    <w:p w:rsidR="000D6522" w:rsidRPr="008868B3" w:rsidRDefault="000D6522" w:rsidP="00CE084E">
      <w:pPr>
        <w:pStyle w:val="BodyText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:rsidR="000D6522" w:rsidRPr="008868B3" w:rsidRDefault="00CE084E" w:rsidP="00CE084E">
      <w:pPr>
        <w:pStyle w:val="ListParagraph"/>
        <w:tabs>
          <w:tab w:val="left" w:pos="0"/>
          <w:tab w:val="left" w:pos="369"/>
        </w:tabs>
        <w:spacing w:before="1"/>
        <w:ind w:left="0" w:right="11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868B3">
        <w:rPr>
          <w:rFonts w:asciiTheme="minorHAnsi" w:hAnsiTheme="minorHAnsi" w:cstheme="minorHAnsi"/>
          <w:b/>
          <w:sz w:val="24"/>
          <w:szCs w:val="24"/>
        </w:rPr>
        <w:t>7.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Информация за продажба или покупка на нов актив на стойност, надвишаваща с 5 на сто стойността на секюритизираните активи, както и за такива сделки, извършени след датата на публикуване на годишния отчет </w:t>
      </w:r>
      <w:r w:rsidR="002335E7" w:rsidRPr="008868B3">
        <w:rPr>
          <w:rFonts w:asciiTheme="minorHAnsi" w:hAnsiTheme="minorHAnsi" w:cstheme="minorHAnsi"/>
          <w:b/>
          <w:sz w:val="24"/>
          <w:szCs w:val="24"/>
        </w:rPr>
        <w:t>– няма</w:t>
      </w:r>
      <w:r w:rsidR="002335E7" w:rsidRPr="008868B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868B3">
        <w:rPr>
          <w:rFonts w:asciiTheme="minorHAnsi" w:hAnsiTheme="minorHAnsi" w:cstheme="minorHAnsi"/>
          <w:b/>
          <w:spacing w:val="-3"/>
          <w:sz w:val="24"/>
          <w:szCs w:val="24"/>
        </w:rPr>
        <w:t>сключени подобни сделки;</w:t>
      </w:r>
    </w:p>
    <w:p w:rsidR="000D6522" w:rsidRPr="008868B3" w:rsidRDefault="000D652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0D6522" w:rsidRPr="008868B3" w:rsidRDefault="000D652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E41FA3" w:rsidRDefault="00CE084E" w:rsidP="00E41FA3">
      <w:pPr>
        <w:ind w:right="5625"/>
        <w:rPr>
          <w:rFonts w:asciiTheme="minorHAnsi" w:hAnsiTheme="minorHAnsi" w:cstheme="minorHAnsi"/>
          <w:sz w:val="24"/>
          <w:szCs w:val="24"/>
        </w:rPr>
      </w:pPr>
      <w:bookmarkStart w:id="1" w:name="Юрий_Станчев"/>
      <w:bookmarkEnd w:id="1"/>
      <w:r w:rsidRPr="008868B3">
        <w:rPr>
          <w:rFonts w:asciiTheme="minorHAnsi" w:hAnsiTheme="minorHAnsi" w:cstheme="minorHAnsi"/>
          <w:sz w:val="24"/>
          <w:szCs w:val="24"/>
        </w:rPr>
        <w:t>Иван Димитров Пирински</w:t>
      </w:r>
      <w:r w:rsidR="002335E7" w:rsidRPr="008868B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6522" w:rsidRPr="008868B3" w:rsidRDefault="002335E7" w:rsidP="00E41FA3">
      <w:pPr>
        <w:ind w:right="5624"/>
        <w:rPr>
          <w:rFonts w:asciiTheme="minorHAnsi" w:hAnsiTheme="minorHAnsi" w:cstheme="minorHAnsi"/>
          <w:sz w:val="24"/>
          <w:szCs w:val="24"/>
        </w:rPr>
      </w:pPr>
      <w:r w:rsidRPr="008868B3">
        <w:rPr>
          <w:rFonts w:asciiTheme="minorHAnsi" w:hAnsiTheme="minorHAnsi" w:cstheme="minorHAnsi"/>
          <w:sz w:val="24"/>
          <w:szCs w:val="24"/>
        </w:rPr>
        <w:t>Изпълнителен директор</w:t>
      </w:r>
    </w:p>
    <w:sectPr w:rsidR="000D6522" w:rsidRPr="008868B3" w:rsidSect="002D5BAB">
      <w:headerReference w:type="default" r:id="rId7"/>
      <w:footerReference w:type="default" r:id="rId8"/>
      <w:type w:val="continuous"/>
      <w:pgSz w:w="11910" w:h="16840"/>
      <w:pgMar w:top="1580" w:right="711" w:bottom="280" w:left="993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2A" w:rsidRDefault="00DC3D2A" w:rsidP="00144B93">
      <w:r>
        <w:separator/>
      </w:r>
    </w:p>
  </w:endnote>
  <w:endnote w:type="continuationSeparator" w:id="0">
    <w:p w:rsidR="00DC3D2A" w:rsidRDefault="00DC3D2A" w:rsidP="0014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0693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noProof/>
        <w:sz w:val="18"/>
        <w:szCs w:val="18"/>
      </w:rPr>
    </w:sdtEndPr>
    <w:sdtContent>
      <w:p w:rsidR="00144B93" w:rsidRPr="00144B93" w:rsidRDefault="00144B93" w:rsidP="002D5BAB">
        <w:pPr>
          <w:pStyle w:val="Footer"/>
          <w:pBdr>
            <w:top w:val="single" w:sz="4" w:space="1" w:color="auto"/>
          </w:pBdr>
          <w:jc w:val="right"/>
          <w:rPr>
            <w:rFonts w:asciiTheme="minorHAnsi" w:hAnsiTheme="minorHAnsi" w:cstheme="minorHAnsi"/>
            <w:b/>
            <w:sz w:val="18"/>
            <w:szCs w:val="18"/>
          </w:rPr>
        </w:pPr>
        <w:r w:rsidRPr="00144B93">
          <w:rPr>
            <w:rFonts w:asciiTheme="minorHAnsi" w:hAnsiTheme="minorHAnsi" w:cstheme="minorHAnsi"/>
            <w:b/>
            <w:sz w:val="18"/>
            <w:szCs w:val="18"/>
          </w:rPr>
          <w:fldChar w:fldCharType="begin"/>
        </w:r>
        <w:r w:rsidRPr="00144B93">
          <w:rPr>
            <w:rFonts w:asciiTheme="minorHAnsi" w:hAnsiTheme="minorHAnsi" w:cstheme="minorHAnsi"/>
            <w:b/>
            <w:sz w:val="18"/>
            <w:szCs w:val="18"/>
          </w:rPr>
          <w:instrText xml:space="preserve"> PAGE   \* MERGEFORMAT </w:instrText>
        </w:r>
        <w:r w:rsidRPr="00144B93">
          <w:rPr>
            <w:rFonts w:asciiTheme="minorHAnsi" w:hAnsiTheme="minorHAnsi" w:cstheme="minorHAnsi"/>
            <w:b/>
            <w:sz w:val="18"/>
            <w:szCs w:val="18"/>
          </w:rPr>
          <w:fldChar w:fldCharType="separate"/>
        </w:r>
        <w:r w:rsidR="00414321">
          <w:rPr>
            <w:rFonts w:asciiTheme="minorHAnsi" w:hAnsiTheme="minorHAnsi" w:cstheme="minorHAnsi"/>
            <w:b/>
            <w:noProof/>
            <w:sz w:val="18"/>
            <w:szCs w:val="18"/>
          </w:rPr>
          <w:t>1</w:t>
        </w:r>
        <w:r w:rsidRPr="00144B93">
          <w:rPr>
            <w:rFonts w:asciiTheme="minorHAnsi" w:hAnsiTheme="minorHAnsi" w:cstheme="minorHAnsi"/>
            <w:b/>
            <w:noProof/>
            <w:sz w:val="18"/>
            <w:szCs w:val="18"/>
          </w:rPr>
          <w:fldChar w:fldCharType="end"/>
        </w:r>
      </w:p>
    </w:sdtContent>
  </w:sdt>
  <w:p w:rsidR="00144B93" w:rsidRDefault="00144B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2A" w:rsidRDefault="00DC3D2A" w:rsidP="00144B93">
      <w:r>
        <w:separator/>
      </w:r>
    </w:p>
  </w:footnote>
  <w:footnote w:type="continuationSeparator" w:id="0">
    <w:p w:rsidR="00DC3D2A" w:rsidRDefault="00DC3D2A" w:rsidP="00144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93" w:rsidRDefault="00144B93" w:rsidP="002D5BAB">
    <w:pPr>
      <w:pStyle w:val="Header"/>
      <w:pBdr>
        <w:bottom w:val="single" w:sz="4" w:space="1" w:color="auto"/>
      </w:pBdr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Компас Фонд за вземания АДСИЦ</w:t>
    </w:r>
  </w:p>
  <w:p w:rsidR="00144B93" w:rsidRDefault="00144B93" w:rsidP="002D5BAB">
    <w:pPr>
      <w:pStyle w:val="Header"/>
      <w:pBdr>
        <w:bottom w:val="single" w:sz="4" w:space="1" w:color="auto"/>
      </w:pBdr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Информация към 3</w:t>
    </w:r>
    <w:r w:rsidR="008C2FBC">
      <w:rPr>
        <w:rFonts w:asciiTheme="minorHAnsi" w:hAnsiTheme="minorHAnsi" w:cstheme="minorHAnsi"/>
        <w:sz w:val="18"/>
        <w:szCs w:val="18"/>
      </w:rPr>
      <w:t>0</w:t>
    </w:r>
    <w:r>
      <w:rPr>
        <w:rFonts w:asciiTheme="minorHAnsi" w:hAnsiTheme="minorHAnsi" w:cstheme="minorHAnsi"/>
        <w:sz w:val="18"/>
        <w:szCs w:val="18"/>
      </w:rPr>
      <w:t>.0</w:t>
    </w:r>
    <w:r w:rsidR="008C2FBC">
      <w:rPr>
        <w:rFonts w:asciiTheme="minorHAnsi" w:hAnsiTheme="minorHAnsi" w:cstheme="minorHAnsi"/>
        <w:sz w:val="18"/>
        <w:szCs w:val="18"/>
      </w:rPr>
      <w:t>9</w:t>
    </w:r>
    <w:r>
      <w:rPr>
        <w:rFonts w:asciiTheme="minorHAnsi" w:hAnsiTheme="minorHAnsi" w:cstheme="minorHAnsi"/>
        <w:sz w:val="18"/>
        <w:szCs w:val="18"/>
      </w:rPr>
      <w:t xml:space="preserve">.2020 г. </w:t>
    </w:r>
  </w:p>
  <w:p w:rsidR="00144B93" w:rsidRDefault="00144B93" w:rsidP="002D5BAB">
    <w:pPr>
      <w:pStyle w:val="Header"/>
      <w:pBdr>
        <w:bottom w:val="single" w:sz="4" w:space="1" w:color="auto"/>
      </w:pBdr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по чл.25, ал.2, от ЗДСИЦ и по чл.41, ал.2, т.6 от Наредба № 2</w:t>
    </w:r>
  </w:p>
  <w:p w:rsidR="00144B93" w:rsidRDefault="00144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143F3"/>
    <w:multiLevelType w:val="hybridMultilevel"/>
    <w:tmpl w:val="1B06240A"/>
    <w:lvl w:ilvl="0" w:tplc="09545A98">
      <w:start w:val="1"/>
      <w:numFmt w:val="decimal"/>
      <w:lvlText w:val="%1."/>
      <w:lvlJc w:val="left"/>
      <w:pPr>
        <w:ind w:left="11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DED4E5EA">
      <w:numFmt w:val="bullet"/>
      <w:lvlText w:val="•"/>
      <w:lvlJc w:val="left"/>
      <w:pPr>
        <w:ind w:left="1038" w:hanging="167"/>
      </w:pPr>
      <w:rPr>
        <w:rFonts w:hint="default"/>
        <w:lang w:val="bg-BG" w:eastAsia="en-US" w:bidi="ar-SA"/>
      </w:rPr>
    </w:lvl>
    <w:lvl w:ilvl="2" w:tplc="DAE4D816">
      <w:numFmt w:val="bullet"/>
      <w:lvlText w:val="•"/>
      <w:lvlJc w:val="left"/>
      <w:pPr>
        <w:ind w:left="1957" w:hanging="167"/>
      </w:pPr>
      <w:rPr>
        <w:rFonts w:hint="default"/>
        <w:lang w:val="bg-BG" w:eastAsia="en-US" w:bidi="ar-SA"/>
      </w:rPr>
    </w:lvl>
    <w:lvl w:ilvl="3" w:tplc="4C6094FE">
      <w:numFmt w:val="bullet"/>
      <w:lvlText w:val="•"/>
      <w:lvlJc w:val="left"/>
      <w:pPr>
        <w:ind w:left="2875" w:hanging="167"/>
      </w:pPr>
      <w:rPr>
        <w:rFonts w:hint="default"/>
        <w:lang w:val="bg-BG" w:eastAsia="en-US" w:bidi="ar-SA"/>
      </w:rPr>
    </w:lvl>
    <w:lvl w:ilvl="4" w:tplc="457C1992">
      <w:numFmt w:val="bullet"/>
      <w:lvlText w:val="•"/>
      <w:lvlJc w:val="left"/>
      <w:pPr>
        <w:ind w:left="3794" w:hanging="167"/>
      </w:pPr>
      <w:rPr>
        <w:rFonts w:hint="default"/>
        <w:lang w:val="bg-BG" w:eastAsia="en-US" w:bidi="ar-SA"/>
      </w:rPr>
    </w:lvl>
    <w:lvl w:ilvl="5" w:tplc="76FAD048">
      <w:numFmt w:val="bullet"/>
      <w:lvlText w:val="•"/>
      <w:lvlJc w:val="left"/>
      <w:pPr>
        <w:ind w:left="4713" w:hanging="167"/>
      </w:pPr>
      <w:rPr>
        <w:rFonts w:hint="default"/>
        <w:lang w:val="bg-BG" w:eastAsia="en-US" w:bidi="ar-SA"/>
      </w:rPr>
    </w:lvl>
    <w:lvl w:ilvl="6" w:tplc="E60C1A48">
      <w:numFmt w:val="bullet"/>
      <w:lvlText w:val="•"/>
      <w:lvlJc w:val="left"/>
      <w:pPr>
        <w:ind w:left="5631" w:hanging="167"/>
      </w:pPr>
      <w:rPr>
        <w:rFonts w:hint="default"/>
        <w:lang w:val="bg-BG" w:eastAsia="en-US" w:bidi="ar-SA"/>
      </w:rPr>
    </w:lvl>
    <w:lvl w:ilvl="7" w:tplc="974EFAB0">
      <w:numFmt w:val="bullet"/>
      <w:lvlText w:val="•"/>
      <w:lvlJc w:val="left"/>
      <w:pPr>
        <w:ind w:left="6550" w:hanging="167"/>
      </w:pPr>
      <w:rPr>
        <w:rFonts w:hint="default"/>
        <w:lang w:val="bg-BG" w:eastAsia="en-US" w:bidi="ar-SA"/>
      </w:rPr>
    </w:lvl>
    <w:lvl w:ilvl="8" w:tplc="D3D412D6">
      <w:numFmt w:val="bullet"/>
      <w:lvlText w:val="•"/>
      <w:lvlJc w:val="left"/>
      <w:pPr>
        <w:ind w:left="7469" w:hanging="167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22"/>
    <w:rsid w:val="000D6522"/>
    <w:rsid w:val="000E7412"/>
    <w:rsid w:val="00144B93"/>
    <w:rsid w:val="002335E7"/>
    <w:rsid w:val="002D5BAB"/>
    <w:rsid w:val="00387853"/>
    <w:rsid w:val="00414321"/>
    <w:rsid w:val="0076248D"/>
    <w:rsid w:val="008868B3"/>
    <w:rsid w:val="008C2FBC"/>
    <w:rsid w:val="00C00EB0"/>
    <w:rsid w:val="00CE084E"/>
    <w:rsid w:val="00DC3D2A"/>
    <w:rsid w:val="00E41FA3"/>
    <w:rsid w:val="00EB139D"/>
    <w:rsid w:val="00EE5922"/>
    <w:rsid w:val="00F3725F"/>
    <w:rsid w:val="00F6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00DEE8-C8B7-4760-928A-5EF1AE8C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90"/>
      <w:ind w:left="192" w:right="19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" w:right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4B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B93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44B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B93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Информация  към 30</vt:lpstr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към 30</dc:title>
  <dc:creator>bojan.donov</dc:creator>
  <cp:lastModifiedBy>Valentin Stoilov</cp:lastModifiedBy>
  <cp:revision>2</cp:revision>
  <dcterms:created xsi:type="dcterms:W3CDTF">2020-10-28T11:04:00Z</dcterms:created>
  <dcterms:modified xsi:type="dcterms:W3CDTF">2020-10-28T11:04:00Z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2020-08-15T00:00:00Z</vt:filetime>
  </property>
</Properties>
</file>